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5"/>
      <w:bookmarkEnd w:id="0"/>
      <w:bookmarkStart w:id="1" w:name="_Hlt449016246"/>
      <w:bookmarkEnd w:id="1"/>
      <w:bookmarkStart w:id="2" w:name="_Hlt450051172"/>
      <w:bookmarkEnd w:id="2"/>
      <w:bookmarkStart w:id="3" w:name="_Hlt448930105"/>
      <w:bookmarkEnd w:id="3"/>
      <w:bookmarkStart w:id="4" w:name="_Hlt450066087"/>
      <w:bookmarkEnd w:id="4"/>
      <w:bookmarkStart w:id="5" w:name="_Hlt450039480"/>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92-bis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911067</w:t>
      </w:r>
      <w:bookmarkStart w:id="8" w:name="_GoBack"/>
      <w:bookmarkEnd w:id="8"/>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Chongqing, China, 14</w:t>
      </w:r>
      <w:r>
        <w:rPr>
          <w:rFonts w:hint="eastAsia" w:ascii="Arial" w:hAnsi="Arial"/>
          <w:b/>
          <w:sz w:val="24"/>
          <w:szCs w:val="24"/>
          <w:vertAlign w:val="superscript"/>
          <w:lang w:val="en-US" w:eastAsia="zh-CN"/>
        </w:rPr>
        <w:t>th</w:t>
      </w:r>
      <w:r>
        <w:rPr>
          <w:rFonts w:hint="eastAsia" w:ascii="Arial" w:hAnsi="Arial"/>
          <w:b/>
          <w:sz w:val="24"/>
          <w:szCs w:val="24"/>
          <w:lang w:val="en-US" w:eastAsia="zh-CN"/>
        </w:rPr>
        <w:t>-18</w:t>
      </w:r>
      <w:r>
        <w:rPr>
          <w:rFonts w:hint="eastAsia" w:ascii="Arial" w:hAnsi="Arial"/>
          <w:b/>
          <w:sz w:val="24"/>
          <w:szCs w:val="24"/>
          <w:vertAlign w:val="superscript"/>
          <w:lang w:val="en-US" w:eastAsia="zh-CN"/>
        </w:rPr>
        <w:t>th</w:t>
      </w:r>
      <w:r>
        <w:rPr>
          <w:rFonts w:hint="eastAsia" w:ascii="Arial" w:hAnsi="Arial"/>
          <w:b/>
          <w:sz w:val="24"/>
          <w:szCs w:val="24"/>
          <w:lang w:val="en-US" w:eastAsia="zh-CN"/>
        </w:rPr>
        <w:t xml:space="preserve"> Oct</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Work plan on IAB EMC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eastAsia"/>
          <w:lang w:val="en-US" w:eastAsia="zh-CN"/>
        </w:rPr>
      </w:pPr>
      <w:r>
        <w:rPr>
          <w:rFonts w:hint="eastAsia"/>
          <w:lang w:val="en-US" w:eastAsia="zh-CN"/>
        </w:rPr>
        <w:t>It is agreed in the WID as adding IAB EMC into the objectives in[1]. In the last meeting, there is also a WF[2] on IAB EMC aspects has been approved. Plenty of areas of EMC technical discussion regarding EMC for IAB has been provided as:</w:t>
      </w:r>
    </w:p>
    <w:p>
      <w:pPr>
        <w:bidi w:val="0"/>
        <w:rPr>
          <w:rFonts w:hint="eastAsia"/>
          <w:i/>
          <w:iCs/>
          <w:lang w:val="en-US" w:eastAsia="zh-CN"/>
        </w:rPr>
      </w:pPr>
      <w:r>
        <w:rPr>
          <w:rFonts w:hint="eastAsia"/>
          <w:i/>
          <w:iCs/>
          <w:lang w:val="en-US" w:eastAsia="zh-CN"/>
        </w:rPr>
        <w:t xml:space="preserve"> EMC requirements</w:t>
      </w:r>
    </w:p>
    <w:p>
      <w:pPr>
        <w:bidi w:val="0"/>
        <w:rPr>
          <w:rFonts w:hint="eastAsia"/>
          <w:i/>
          <w:iCs/>
          <w:lang w:val="en-US" w:eastAsia="zh-CN"/>
        </w:rPr>
      </w:pPr>
      <w:r>
        <w:rPr>
          <w:rFonts w:hint="eastAsia"/>
          <w:i/>
          <w:iCs/>
          <w:lang w:val="en-US" w:eastAsia="zh-CN"/>
        </w:rPr>
        <w:t xml:space="preserve"> the test conditions, performance assessment </w:t>
      </w:r>
    </w:p>
    <w:p>
      <w:pPr>
        <w:bidi w:val="0"/>
        <w:rPr>
          <w:rFonts w:hint="eastAsia"/>
          <w:i/>
          <w:iCs/>
          <w:lang w:val="en-US" w:eastAsia="zh-CN"/>
        </w:rPr>
      </w:pPr>
      <w:r>
        <w:rPr>
          <w:rFonts w:hint="eastAsia"/>
          <w:i/>
          <w:iCs/>
          <w:lang w:val="en-US" w:eastAsia="zh-CN"/>
        </w:rPr>
        <w:t>Other potential issues</w:t>
      </w:r>
    </w:p>
    <w:p>
      <w:pPr>
        <w:bidi w:val="0"/>
        <w:rPr>
          <w:rFonts w:hint="default"/>
          <w:lang w:val="en-US" w:eastAsia="zh-CN"/>
        </w:rPr>
      </w:pPr>
      <w:r>
        <w:rPr>
          <w:rFonts w:hint="eastAsia"/>
          <w:lang w:val="en-US" w:eastAsia="zh-CN"/>
        </w:rPr>
        <w:t>To accomplish the IAB EMC contents in time to align with the WID[1], we propose the work plan in following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Based on the newest IAB WID, the timeline for finish the RF core and performance part of IAB has been set to June 2020 as shown below:</w:t>
      </w:r>
    </w:p>
    <w:tbl>
      <w:tblPr>
        <w:tblStyle w:val="52"/>
        <w:tblW w:w="907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134"/>
        <w:gridCol w:w="2409"/>
        <w:gridCol w:w="107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2" w:type="dxa"/>
            <w:gridSpan w:val="6"/>
            <w:shd w:val="clear" w:color="auto" w:fill="D9D9D9"/>
            <w:tcMar>
              <w:left w:w="57" w:type="dxa"/>
              <w:right w:w="57" w:type="dxa"/>
            </w:tcMar>
            <w:vAlign w:val="center"/>
          </w:tcPr>
          <w:p>
            <w:pPr>
              <w:pStyle w:val="6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8"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072"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418"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701"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8" w:type="dxa"/>
          </w:tcPr>
          <w:p>
            <w:pPr>
              <w:spacing w:after="0"/>
            </w:pPr>
            <w:r>
              <w:t>38.3XX</w:t>
            </w:r>
          </w:p>
        </w:tc>
        <w:tc>
          <w:tcPr>
            <w:tcW w:w="1134" w:type="dxa"/>
          </w:tcPr>
          <w:p>
            <w:pPr>
              <w:spacing w:after="0"/>
            </w:pPr>
            <w:r>
              <w:t>TS38</w:t>
            </w:r>
          </w:p>
        </w:tc>
        <w:tc>
          <w:tcPr>
            <w:tcW w:w="2409" w:type="dxa"/>
          </w:tcPr>
          <w:p>
            <w:pPr>
              <w:spacing w:after="0"/>
            </w:pPr>
            <w:r>
              <w:t xml:space="preserve">NR; Backhaul Adaptation Protocol </w:t>
            </w:r>
          </w:p>
        </w:tc>
        <w:tc>
          <w:tcPr>
            <w:tcW w:w="1072" w:type="dxa"/>
          </w:tcPr>
          <w:p>
            <w:pPr>
              <w:spacing w:after="0"/>
            </w:pPr>
          </w:p>
        </w:tc>
        <w:tc>
          <w:tcPr>
            <w:tcW w:w="1418" w:type="dxa"/>
          </w:tcPr>
          <w:p>
            <w:pPr>
              <w:spacing w:after="0"/>
            </w:pPr>
            <w:r>
              <w:t>RAN#87</w:t>
            </w:r>
          </w:p>
        </w:tc>
        <w:tc>
          <w:tcPr>
            <w:tcW w:w="1701" w:type="dxa"/>
          </w:tcPr>
          <w:p>
            <w:pPr>
              <w:spacing w:after="0"/>
            </w:pPr>
            <w:r>
              <w:t>Core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8" w:type="dxa"/>
          </w:tcPr>
          <w:p>
            <w:pPr>
              <w:spacing w:after="0"/>
            </w:pPr>
            <w:r>
              <w:t>38.1YY</w:t>
            </w:r>
          </w:p>
        </w:tc>
        <w:tc>
          <w:tcPr>
            <w:tcW w:w="1134" w:type="dxa"/>
          </w:tcPr>
          <w:p>
            <w:pPr>
              <w:spacing w:after="0"/>
            </w:pPr>
            <w:r>
              <w:t>TS38</w:t>
            </w:r>
          </w:p>
        </w:tc>
        <w:tc>
          <w:tcPr>
            <w:tcW w:w="2409" w:type="dxa"/>
          </w:tcPr>
          <w:p>
            <w:pPr>
              <w:spacing w:after="0"/>
            </w:pPr>
            <w:r>
              <w:t>NR; Integrated Access and Backhaul (IAB) radio transmission and reception</w:t>
            </w:r>
          </w:p>
        </w:tc>
        <w:tc>
          <w:tcPr>
            <w:tcW w:w="1072" w:type="dxa"/>
          </w:tcPr>
          <w:p>
            <w:pPr>
              <w:spacing w:after="0"/>
            </w:pPr>
          </w:p>
        </w:tc>
        <w:tc>
          <w:tcPr>
            <w:tcW w:w="1418" w:type="dxa"/>
          </w:tcPr>
          <w:p>
            <w:pPr>
              <w:spacing w:after="0"/>
              <w:rPr>
                <w:highlight w:val="yellow"/>
              </w:rPr>
            </w:pPr>
            <w:r>
              <w:rPr>
                <w:highlight w:val="yellow"/>
              </w:rPr>
              <w:t>RAN#88</w:t>
            </w:r>
          </w:p>
        </w:tc>
        <w:tc>
          <w:tcPr>
            <w:tcW w:w="1701" w:type="dxa"/>
          </w:tcPr>
          <w:p>
            <w:pPr>
              <w:spacing w:after="0"/>
              <w:rPr>
                <w:highlight w:val="yellow"/>
              </w:rPr>
            </w:pPr>
            <w:r>
              <w:rPr>
                <w:highlight w:val="yellow"/>
              </w:rPr>
              <w:t xml:space="preserve">RF core and performance requirements. </w:t>
            </w:r>
          </w:p>
        </w:tc>
      </w:tr>
    </w:tbl>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 xml:space="preserve">The RAN#88 meeting starts from 2020-06-15, before that, there will be 5 RAN4 meetings including this meeting.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 xml:space="preserve"> Plenty of IAB EMC aspects has been listed in the WF[2]. It has been summarized that different EMC requirements and test conditions as well as performance criteria might need to be revisited compared to current NR base station and UE EMC requirements. Hence we propose the following work plan to finish the IAB EMC work:</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1, Decide whether to have a TS for IAB EMC within this meeting(RAN4#92-bis)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2, Finish the TS skeleton discussion and/or influenced chapters of current TS 38.113 in November meeting (RAN4#93)</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default"/>
          <w:b w:val="0"/>
          <w:bCs w:val="0"/>
          <w:lang w:val="en-US" w:eastAsia="zh-CN"/>
        </w:rPr>
      </w:pPr>
      <w:r>
        <w:rPr>
          <w:rFonts w:hint="eastAsia"/>
          <w:b w:val="0"/>
          <w:bCs w:val="0"/>
          <w:lang w:val="en-US" w:eastAsia="zh-CN"/>
        </w:rPr>
        <w:t>Initial technical discussion of core requirements.</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default"/>
          <w:b w:val="0"/>
          <w:bCs w:val="0"/>
          <w:lang w:val="en-US" w:eastAsia="zh-CN"/>
        </w:rPr>
      </w:pPr>
      <w:r>
        <w:rPr>
          <w:rFonts w:hint="eastAsia"/>
          <w:b w:val="0"/>
          <w:bCs w:val="0"/>
          <w:lang w:val="en-US" w:eastAsia="zh-CN"/>
        </w:rPr>
        <w:t>Indoor and outdoor requirements 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3, Finish the core-requirements in February meeting (RAN4#94)</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default"/>
          <w:b w:val="0"/>
          <w:bCs w:val="0"/>
          <w:lang w:val="en-US" w:eastAsia="zh-CN"/>
        </w:rPr>
      </w:pPr>
      <w:r>
        <w:rPr>
          <w:rFonts w:hint="eastAsia"/>
          <w:b w:val="0"/>
          <w:bCs w:val="0"/>
          <w:lang w:val="en-US" w:eastAsia="zh-CN"/>
        </w:rPr>
        <w:t>Radiated emission and radiated immunity requirement discussion</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eastAsia"/>
          <w:b w:val="0"/>
          <w:bCs w:val="0"/>
          <w:lang w:val="en-US" w:eastAsia="zh-CN"/>
        </w:rPr>
      </w:pPr>
      <w:r>
        <w:rPr>
          <w:rFonts w:hint="eastAsia"/>
          <w:b w:val="0"/>
          <w:bCs w:val="0"/>
          <w:lang w:val="en-US" w:eastAsia="zh-CN"/>
        </w:rPr>
        <w:t>How to deal with the situation as DU and MT has different requirements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4, Improvement and follow-up of core requirement and starts to discuss performance part in April meeting(RAN4#94Bis)</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eastAsia"/>
          <w:b w:val="0"/>
          <w:bCs w:val="0"/>
          <w:lang w:val="en-US" w:eastAsia="zh-CN"/>
        </w:rPr>
      </w:pPr>
      <w:r>
        <w:rPr>
          <w:rFonts w:hint="eastAsia"/>
          <w:b w:val="0"/>
          <w:bCs w:val="0"/>
          <w:lang w:val="en-US" w:eastAsia="zh-CN"/>
        </w:rPr>
        <w:t>How to set up the communication link</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eastAsia"/>
          <w:b w:val="0"/>
          <w:bCs w:val="0"/>
          <w:lang w:val="en-US" w:eastAsia="zh-CN"/>
        </w:rPr>
      </w:pPr>
      <w:r>
        <w:rPr>
          <w:rFonts w:hint="eastAsia"/>
          <w:b w:val="0"/>
          <w:bCs w:val="0"/>
          <w:lang w:val="en-US" w:eastAsia="zh-CN"/>
        </w:rPr>
        <w:t>How to assess the function of IAB itself</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5, Finish all the requirements in May meeting.(RAN4#95)</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default"/>
          <w:b w:val="0"/>
          <w:bCs w:val="0"/>
          <w:lang w:val="en-US" w:eastAsia="zh-CN"/>
        </w:rPr>
      </w:pPr>
      <w:r>
        <w:rPr>
          <w:rFonts w:hint="eastAsia"/>
          <w:b w:val="0"/>
          <w:bCs w:val="0"/>
          <w:lang w:val="en-US" w:eastAsia="zh-CN"/>
        </w:rPr>
        <w:t>Finish all the core requirements</w:t>
      </w:r>
    </w:p>
    <w:p>
      <w:pPr>
        <w:keepNext w:val="0"/>
        <w:keepLines w:val="0"/>
        <w:pageBreakBefore w:val="0"/>
        <w:widowControl/>
        <w:numPr>
          <w:ilvl w:val="0"/>
          <w:numId w:val="7"/>
        </w:numPr>
        <w:kinsoku/>
        <w:wordWrap/>
        <w:overflowPunct/>
        <w:topLinePunct w:val="0"/>
        <w:autoSpaceDE/>
        <w:autoSpaceDN/>
        <w:bidi w:val="0"/>
        <w:adjustRightInd/>
        <w:snapToGrid/>
        <w:spacing w:before="137" w:beforeLines="50"/>
        <w:ind w:left="840" w:leftChars="0" w:hanging="420" w:firstLineChars="0"/>
        <w:jc w:val="both"/>
        <w:textAlignment w:val="auto"/>
        <w:outlineLvl w:val="9"/>
        <w:rPr>
          <w:rFonts w:hint="default"/>
          <w:b w:val="0"/>
          <w:bCs w:val="0"/>
          <w:lang w:val="en-US" w:eastAsia="zh-CN"/>
        </w:rPr>
      </w:pPr>
      <w:r>
        <w:rPr>
          <w:rFonts w:hint="eastAsia"/>
          <w:b w:val="0"/>
          <w:bCs w:val="0"/>
          <w:lang w:val="en-US" w:eastAsia="zh-CN"/>
        </w:rPr>
        <w:t>Finish the performance part as test conditions and performance criteria</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It can be seen that we don</w:t>
      </w:r>
      <w:r>
        <w:rPr>
          <w:rFonts w:hint="default"/>
          <w:b w:val="0"/>
          <w:bCs w:val="0"/>
          <w:lang w:val="en-US" w:eastAsia="zh-CN"/>
        </w:rPr>
        <w:t>’</w:t>
      </w:r>
      <w:r>
        <w:rPr>
          <w:rFonts w:hint="eastAsia"/>
          <w:b w:val="0"/>
          <w:bCs w:val="0"/>
          <w:lang w:val="en-US" w:eastAsia="zh-CN"/>
        </w:rPr>
        <w:t>t have a lot of time to finish our work. It is quite critical to decide the way how we are going to capture the IAB EMC requirements within this meeting so we can start our work early.</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Plenty of work including core and performance part of IAB EMC has been listed in the work plan, companies are encouraged to bring further analysis based on the work plan.</w:t>
      </w:r>
    </w:p>
    <w:p>
      <w:pPr>
        <w:pStyle w:val="2"/>
        <w:rPr>
          <w:rFonts w:cs="Arial"/>
          <w:lang w:eastAsia="zh-CN"/>
        </w:rPr>
      </w:pPr>
      <w:r>
        <w:rPr>
          <w:rFonts w:cs="Arial"/>
          <w:lang w:eastAsia="zh-CN"/>
        </w:rPr>
        <w:t>Conclusion</w:t>
      </w:r>
    </w:p>
    <w:p>
      <w:pPr>
        <w:rPr>
          <w:rFonts w:hint="default"/>
          <w:lang w:val="en-US" w:eastAsia="zh-CN"/>
        </w:rPr>
      </w:pPr>
      <w:bookmarkStart w:id="7" w:name="OLE_LINK1"/>
      <w:r>
        <w:rPr>
          <w:rFonts w:hint="eastAsia"/>
          <w:color w:val="000000"/>
          <w:lang w:val="en-US" w:eastAsia="zh-CN"/>
        </w:rPr>
        <w:t>In this contribution, w</w:t>
      </w:r>
      <w:r>
        <w:rPr>
          <w:rFonts w:hint="eastAsia"/>
          <w:lang w:val="en-US" w:eastAsia="zh-CN"/>
        </w:rPr>
        <w:t>e give analysis of IAB EMC timeline and encourage companies to provide technical discussion in the following meetings.</w:t>
      </w:r>
    </w:p>
    <w:bookmarkEnd w:id="7"/>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pPr>
      <w:r>
        <w:rPr>
          <w:rFonts w:hint="eastAsia"/>
          <w:lang w:val="en-US" w:eastAsia="zh-CN"/>
        </w:rPr>
        <w:t xml:space="preserve">RP-191558, Revised WID: Integrated Access and Backhaul for NR </w:t>
      </w:r>
    </w:p>
    <w:p>
      <w:pPr>
        <w:pStyle w:val="93"/>
        <w:rPr>
          <w:rFonts w:hint="default"/>
          <w:lang w:val="en-US" w:eastAsia="zh-CN"/>
        </w:rPr>
      </w:pPr>
      <w:r>
        <w:rPr>
          <w:rFonts w:hint="default"/>
          <w:lang w:val="en-US" w:eastAsia="zh-CN"/>
        </w:rPr>
        <w:t>R4-1910475 WF on IAB EMC aspects</w:t>
      </w:r>
      <w:r>
        <w:rPr>
          <w:rFonts w:hint="eastAsia"/>
          <w:lang w:val="en-US" w:eastAsia="zh-CN"/>
        </w:rPr>
        <w:t>, ZTE, Ericsson</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22288"/>
    <w:multiLevelType w:val="singleLevel"/>
    <w:tmpl w:val="98C22288"/>
    <w:lvl w:ilvl="0" w:tentative="0">
      <w:start w:val="1"/>
      <w:numFmt w:val="bullet"/>
      <w:lvlText w:val=""/>
      <w:lvlJc w:val="left"/>
      <w:pPr>
        <w:ind w:left="420" w:hanging="420"/>
      </w:pPr>
      <w:rPr>
        <w:rFonts w:hint="default" w:ascii="Wingdings" w:hAnsi="Wingdings"/>
      </w:rPr>
    </w:lvl>
  </w:abstractNum>
  <w:abstractNum w:abstractNumId="1">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3">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3</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2019-10-03T00:53:18Z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